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2327D2" w:rsidRPr="00DC3610">
              <w:rPr>
                <w:i/>
                <w:iCs/>
              </w:rPr>
              <w:lastRenderedPageBreak/>
              <w:t>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</w:t>
            </w:r>
            <w:r w:rsidR="00300D61" w:rsidRPr="00DC3610">
              <w:lastRenderedPageBreak/>
              <w:t xml:space="preserve">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 xml:space="preserve">obrazy jako źródło </w:t>
            </w:r>
            <w:r w:rsidR="007171A6" w:rsidRPr="00DC3610">
              <w:lastRenderedPageBreak/>
              <w:t>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Bitwa pod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DA6" w:rsidRDefault="00F22DA6" w:rsidP="00F22DA6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bCs/>
          <w:sz w:val="24"/>
          <w:szCs w:val="24"/>
          <w:u w:val="single"/>
        </w:rPr>
      </w:pPr>
      <w:r>
        <w:rPr>
          <w:rFonts w:ascii="Arial" w:eastAsia="TimesNewRoman" w:hAnsi="Arial" w:cs="Arial"/>
          <w:b/>
          <w:bCs/>
          <w:sz w:val="24"/>
          <w:szCs w:val="24"/>
          <w:u w:val="single"/>
        </w:rPr>
        <w:t>Ocena niedostateczna</w:t>
      </w:r>
    </w:p>
    <w:p w:rsidR="00F22DA6" w:rsidRDefault="00F22DA6" w:rsidP="00F22DA6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Uczeń:</w:t>
      </w:r>
    </w:p>
    <w:p w:rsidR="00F22DA6" w:rsidRDefault="00F22DA6" w:rsidP="00F22D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nie opanował wiadomości i umiejętności przewidzianych na ocenę dopuszczającą,</w:t>
      </w:r>
    </w:p>
    <w:p w:rsidR="00F22DA6" w:rsidRDefault="00F22DA6" w:rsidP="00F22D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nie potrafi formułować bardzo prostych wypowiedzi ustnych i pisemnych, gdyż  nie zna podstawowej terminologii stosowanej na lekcji,</w:t>
      </w:r>
    </w:p>
    <w:p w:rsidR="00F22DA6" w:rsidRDefault="00F22DA6" w:rsidP="00F22D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braki w wiedzy ucznia są na tyle duże, że nie rokują nadziei na ich usunięcia, nadrobienie.</w:t>
      </w:r>
    </w:p>
    <w:p w:rsidR="00F22DA6" w:rsidRDefault="00F22DA6" w:rsidP="00F22DA6">
      <w:pPr>
        <w:jc w:val="both"/>
        <w:rPr>
          <w:rFonts w:ascii="Arial" w:hAnsi="Arial" w:cs="Arial"/>
          <w:sz w:val="24"/>
          <w:szCs w:val="24"/>
        </w:rPr>
      </w:pPr>
    </w:p>
    <w:p w:rsidR="00F22DA6" w:rsidRPr="008938DA" w:rsidRDefault="00F22DA6" w:rsidP="00F22DA6">
      <w:pPr>
        <w:jc w:val="right"/>
        <w:rPr>
          <w:rFonts w:cstheme="minorHAnsi"/>
        </w:rPr>
      </w:pPr>
      <w:r>
        <w:rPr>
          <w:rFonts w:cstheme="minorHAnsi"/>
        </w:rPr>
        <w:t>Bernadeta Cuber</w:t>
      </w:r>
    </w:p>
    <w:p w:rsidR="00F22DA6" w:rsidRPr="009C4E97" w:rsidRDefault="00F22DA6" w:rsidP="00F22DA6">
      <w:pPr>
        <w:rPr>
          <w:color w:val="808080"/>
          <w:sz w:val="24"/>
          <w:szCs w:val="24"/>
        </w:rPr>
      </w:pPr>
    </w:p>
    <w:p w:rsidR="00F22DA6" w:rsidRPr="00DC3610" w:rsidRDefault="00F22DA6" w:rsidP="00F22D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2D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FD" w:rsidRDefault="003017FD" w:rsidP="007B1B87">
      <w:pPr>
        <w:spacing w:after="0" w:line="240" w:lineRule="auto"/>
      </w:pPr>
      <w:r>
        <w:separator/>
      </w:r>
    </w:p>
  </w:endnote>
  <w:endnote w:type="continuationSeparator" w:id="1">
    <w:p w:rsidR="003017FD" w:rsidRDefault="003017F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6D3052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F22DA6">
      <w:rPr>
        <w:noProof/>
      </w:rPr>
      <w:t>24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FD" w:rsidRDefault="003017FD" w:rsidP="007B1B87">
      <w:pPr>
        <w:spacing w:after="0" w:line="240" w:lineRule="auto"/>
      </w:pPr>
      <w:r>
        <w:separator/>
      </w:r>
    </w:p>
  </w:footnote>
  <w:footnote w:type="continuationSeparator" w:id="1">
    <w:p w:rsidR="003017FD" w:rsidRDefault="003017F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9C3B4F"/>
    <w:multiLevelType w:val="hybridMultilevel"/>
    <w:tmpl w:val="6F7A2016"/>
    <w:lvl w:ilvl="0" w:tplc="353ED6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New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1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17FD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D3052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2DA6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24</Pages>
  <Words>8063</Words>
  <Characters>48381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Admin</cp:lastModifiedBy>
  <cp:revision>522</cp:revision>
  <cp:lastPrinted>2017-09-06T11:26:00Z</cp:lastPrinted>
  <dcterms:created xsi:type="dcterms:W3CDTF">2018-08-17T12:19:00Z</dcterms:created>
  <dcterms:modified xsi:type="dcterms:W3CDTF">2021-09-06T06:06:00Z</dcterms:modified>
</cp:coreProperties>
</file>