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rFonts w:ascii="Times New Roman" w:hAnsi="Times New Roman"/>
          <w:b w:val="0"/>
          <w:spacing w:val="-206"/>
          <w:w w:val="100"/>
          <w:u w:val="none"/>
        </w:rPr>
        <w:t> </w:t>
      </w:r>
      <w:r>
        <w:rPr>
          <w:u w:val="thick"/>
        </w:rPr>
        <w:t>Wyniki i zaświadczenia</w:t>
      </w: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6"/>
        <w:rPr>
          <w:rFonts w:ascii="Carlito"/>
          <w:b/>
          <w:sz w:val="22"/>
        </w:rPr>
      </w:pPr>
    </w:p>
    <w:p>
      <w:pPr>
        <w:pStyle w:val="BodyText"/>
        <w:spacing w:line="259" w:lineRule="auto" w:before="85"/>
        <w:ind w:left="100" w:right="114"/>
        <w:jc w:val="both"/>
      </w:pPr>
      <w:r>
        <w:rPr/>
        <w:t>W 2021 r. uczniowie poznają swoje wyniki 2 lipca, natomiast 9 lipca każdy uczeń otrzyma zaświadczenie o szczegółowych wynikach egzaminu ósmoklasisty. Na zaświadczeniu podany będzie wynik procentowy oraz wynik na skali centylowej dla egzaminu z każdego przedmiotu.</w:t>
      </w:r>
    </w:p>
    <w:p>
      <w:pPr>
        <w:pStyle w:val="BodyText"/>
        <w:rPr>
          <w:sz w:val="40"/>
        </w:rPr>
      </w:pPr>
    </w:p>
    <w:p>
      <w:pPr>
        <w:pStyle w:val="BodyText"/>
        <w:spacing w:line="259" w:lineRule="auto" w:before="305"/>
        <w:ind w:left="100" w:right="120"/>
        <w:jc w:val="both"/>
      </w:pPr>
      <w:r>
        <w:rPr/>
        <w:t>Wynik procentowy to odsetek punktów (zaokrąglony do liczby całkowitej), które uczeń zdobył za zadania z danego przedmiotu.</w:t>
      </w:r>
    </w:p>
    <w:p>
      <w:pPr>
        <w:pStyle w:val="BodyText"/>
        <w:rPr>
          <w:sz w:val="40"/>
        </w:rPr>
      </w:pPr>
    </w:p>
    <w:p>
      <w:pPr>
        <w:pStyle w:val="BodyText"/>
        <w:spacing w:line="259" w:lineRule="auto" w:before="307"/>
        <w:ind w:left="100" w:right="120"/>
        <w:jc w:val="both"/>
      </w:pPr>
      <w:r>
        <w:rPr/>
        <w:t>Wynik centylowy to odsetek liczby ósmoklasistów (zaokrąglony do liczby całkowitej), którzy uzyskali z egzaminu z danego przedmiotu wynik taki sam lub niższy niż zdający.</w:t>
      </w:r>
    </w:p>
    <w:p>
      <w:pPr>
        <w:pStyle w:val="BodyText"/>
        <w:rPr>
          <w:sz w:val="40"/>
        </w:rPr>
      </w:pPr>
    </w:p>
    <w:p>
      <w:pPr>
        <w:pStyle w:val="BodyText"/>
        <w:spacing w:line="259" w:lineRule="auto" w:before="304"/>
        <w:ind w:left="100" w:right="114"/>
        <w:jc w:val="both"/>
      </w:pPr>
      <w:r>
        <w:rPr/>
        <w:t>Na przykład uczeń, który z języka polskiego uzyskał 78% punktów możliwych do zdobycia (wynik procentowy), dowie się z</w:t>
      </w:r>
      <w:r>
        <w:rPr>
          <w:spacing w:val="-66"/>
        </w:rPr>
        <w:t> </w:t>
      </w:r>
      <w:r>
        <w:rPr/>
        <w:t>zaświadczenia, że</w:t>
      </w:r>
      <w:r>
        <w:rPr>
          <w:spacing w:val="-17"/>
        </w:rPr>
        <w:t> </w:t>
      </w:r>
      <w:r>
        <w:rPr/>
        <w:t>wynik</w:t>
      </w:r>
      <w:r>
        <w:rPr>
          <w:spacing w:val="-19"/>
        </w:rPr>
        <w:t> </w:t>
      </w:r>
      <w:r>
        <w:rPr/>
        <w:t>taki</w:t>
      </w:r>
      <w:r>
        <w:rPr>
          <w:spacing w:val="-19"/>
        </w:rPr>
        <w:t> </w:t>
      </w:r>
      <w:r>
        <w:rPr/>
        <w:t>sam</w:t>
      </w:r>
      <w:r>
        <w:rPr>
          <w:spacing w:val="-16"/>
        </w:rPr>
        <w:t> </w:t>
      </w:r>
      <w:r>
        <w:rPr/>
        <w:t>lub</w:t>
      </w:r>
      <w:r>
        <w:rPr>
          <w:spacing w:val="-18"/>
        </w:rPr>
        <w:t> </w:t>
      </w:r>
      <w:r>
        <w:rPr/>
        <w:t>niższy</w:t>
      </w:r>
      <w:r>
        <w:rPr>
          <w:spacing w:val="-19"/>
        </w:rPr>
        <w:t> </w:t>
      </w:r>
      <w:r>
        <w:rPr/>
        <w:t>uzyskało</w:t>
      </w:r>
      <w:r>
        <w:rPr>
          <w:spacing w:val="-15"/>
        </w:rPr>
        <w:t> </w:t>
      </w:r>
      <w:r>
        <w:rPr/>
        <w:t>73%</w:t>
      </w:r>
      <w:r>
        <w:rPr>
          <w:spacing w:val="-16"/>
        </w:rPr>
        <w:t> </w:t>
      </w:r>
      <w:r>
        <w:rPr/>
        <w:t>wszystkich</w:t>
      </w:r>
      <w:r>
        <w:rPr>
          <w:spacing w:val="-17"/>
        </w:rPr>
        <w:t> </w:t>
      </w:r>
      <w:r>
        <w:rPr/>
        <w:t>zdających</w:t>
      </w:r>
      <w:r>
        <w:rPr>
          <w:spacing w:val="-19"/>
        </w:rPr>
        <w:t> </w:t>
      </w:r>
      <w:r>
        <w:rPr/>
        <w:t>(wynik centylowy), co oznacza, że wynik wyższy uzyskało 27% zdających. Wynik centylowy umożliwia porównanie swojego wyniku z wynikami uczniów w całym</w:t>
      </w:r>
      <w:r>
        <w:rPr>
          <w:spacing w:val="-2"/>
        </w:rPr>
        <w:t> </w:t>
      </w:r>
      <w:r>
        <w:rPr/>
        <w:t>kraju.</w:t>
      </w:r>
    </w:p>
    <w:p>
      <w:pPr>
        <w:pStyle w:val="BodyText"/>
        <w:rPr>
          <w:sz w:val="40"/>
        </w:rPr>
      </w:pPr>
    </w:p>
    <w:p>
      <w:pPr>
        <w:pStyle w:val="BodyText"/>
        <w:spacing w:line="259" w:lineRule="auto" w:before="307"/>
        <w:ind w:left="100" w:right="120"/>
        <w:jc w:val="both"/>
      </w:pPr>
      <w:r>
        <w:rPr/>
        <w:t>Wyniki egzaminacyjne są ostateczne i nie mogą być podważone na drodze sądowej.</w:t>
      </w:r>
    </w:p>
    <w:sectPr>
      <w:type w:val="continuous"/>
      <w:pgSz w:w="11910" w:h="16840"/>
      <w:pgMar w:top="7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922" w:lineRule="exact"/>
      <w:ind w:right="18"/>
      <w:jc w:val="center"/>
    </w:pPr>
    <w:rPr>
      <w:rFonts w:ascii="Carlito" w:hAnsi="Carlito" w:eastAsia="Carlito" w:cs="Carlito"/>
      <w:b/>
      <w:bCs/>
      <w:sz w:val="82"/>
      <w:szCs w:val="82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Pierchała</dc:creator>
  <dcterms:created xsi:type="dcterms:W3CDTF">2021-02-26T17:00:56Z</dcterms:created>
  <dcterms:modified xsi:type="dcterms:W3CDTF">2021-02-26T17:00:56Z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2021-02-26T00:00:00Z</vt:filetime>
  </property>
</Properties>
</file>